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-914399</wp:posOffset>
            </wp:positionH>
            <wp:positionV relativeFrom="paragraph">
              <wp:posOffset>-683259</wp:posOffset>
            </wp:positionV>
            <wp:extent cx="7315200" cy="1216152"/>
            <wp:effectExtent b="0" l="0" r="0" t="0"/>
            <wp:wrapSquare wrapText="bothSides" distB="0" distT="0" distL="114300" distR="114300"/>
            <wp:docPr id="5"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7315200" cy="1216152"/>
                    </a:xfrm>
                    <a:prstGeom prst="rect"/>
                    <a:ln/>
                  </pic:spPr>
                </pic:pic>
              </a:graphicData>
            </a:graphic>
          </wp:anchor>
        </w:drawing>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-914399</wp:posOffset>
                </wp:positionH>
                <wp:positionV relativeFrom="paragraph">
                  <wp:posOffset>2095500</wp:posOffset>
                </wp:positionV>
                <wp:extent cx="7324725" cy="3648075"/>
                <wp:effectExtent b="0" l="0" r="0" t="0"/>
                <wp:wrapSquare wrapText="bothSides" distB="0" distT="0" distL="114300" distR="114300"/>
                <wp:docPr id="1" name=""/>
                <a:graphic>
                  <a:graphicData uri="http://schemas.microsoft.com/office/word/2010/wordprocessingShape">
                    <wps:wsp>
                      <wps:cNvSpPr/>
                      <wps:cNvPr id="2" name="Shape 2"/>
                      <wps:spPr>
                        <a:xfrm>
                          <a:off x="1688400" y="1960725"/>
                          <a:ext cx="7315200" cy="3638550"/>
                        </a:xfrm>
                        <a:prstGeom prst="rect">
                          <a:avLst/>
                        </a:prstGeom>
                        <a:noFill/>
                        <a:ln>
                          <a:noFill/>
                        </a:ln>
                      </wps:spPr>
                      <wps:txbx>
                        <w:txbxContent>
                          <w:p w:rsidR="00000000" w:rsidDel="00000000" w:rsidP="00000000" w:rsidRDefault="00000000" w:rsidRPr="00000000">
                            <w:pPr>
                              <w:spacing w:after="160" w:before="0" w:line="255.99998474121094"/>
                              <w:ind w:left="0" w:right="0" w:firstLine="0"/>
                              <w:jc w:val="right"/>
                              <w:textDirection w:val="btLr"/>
                            </w:pPr>
                            <w:r w:rsidDel="00000000" w:rsidR="00000000" w:rsidRPr="00000000">
                              <w:rPr>
                                <w:rFonts w:ascii="Calibri" w:cs="Calibri" w:eastAsia="Calibri" w:hAnsi="Calibri"/>
                                <w:b w:val="0"/>
                                <w:i w:val="0"/>
                                <w:smallCaps w:val="1"/>
                                <w:strike w:val="0"/>
                                <w:color w:val="4472c4"/>
                                <w:sz w:val="64"/>
                                <w:vertAlign w:val="baseline"/>
                              </w:rPr>
                              <w:t xml:space="preserve">GROUNDED LOW VOLTAGE (GLV) USER MANUAL</w:t>
                            </w:r>
                          </w:p>
                          <w:p w:rsidR="00000000" w:rsidDel="00000000" w:rsidP="00000000" w:rsidRDefault="00000000" w:rsidRPr="00000000">
                            <w:pPr>
                              <w:spacing w:after="160" w:before="0" w:line="255.99998474121094"/>
                              <w:ind w:left="0" w:right="0" w:firstLine="0"/>
                              <w:jc w:val="right"/>
                              <w:textDirection w:val="btLr"/>
                            </w:pPr>
                            <w:r w:rsidDel="00000000" w:rsidR="00000000" w:rsidRPr="00000000">
                              <w:rPr>
                                <w:rFonts w:ascii="Calibri" w:cs="Calibri" w:eastAsia="Calibri" w:hAnsi="Calibri"/>
                                <w:b w:val="0"/>
                                <w:i w:val="0"/>
                                <w:smallCaps w:val="0"/>
                                <w:strike w:val="0"/>
                                <w:color w:val="4472c4"/>
                                <w:sz w:val="64"/>
                                <w:vertAlign w:val="baseline"/>
                              </w:rPr>
                            </w:r>
                            <w:r w:rsidDel="00000000" w:rsidR="00000000" w:rsidRPr="00000000">
                              <w:rPr>
                                <w:rFonts w:ascii="Calibri" w:cs="Calibri" w:eastAsia="Calibri" w:hAnsi="Calibri"/>
                                <w:b w:val="0"/>
                                <w:i w:val="0"/>
                                <w:smallCaps w:val="0"/>
                                <w:strike w:val="0"/>
                                <w:color w:val="404040"/>
                                <w:sz w:val="36"/>
                                <w:vertAlign w:val="baseline"/>
                              </w:rPr>
                              <w:t xml:space="preserve">     </w:t>
                            </w:r>
                          </w:p>
                        </w:txbxContent>
                      </wps:txbx>
                      <wps:bodyPr anchorCtr="0" anchor="b" bIns="0" lIns="1600200" spcFirstLastPara="1" rIns="685800"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-914399</wp:posOffset>
                </wp:positionH>
                <wp:positionV relativeFrom="paragraph">
                  <wp:posOffset>2095500</wp:posOffset>
                </wp:positionV>
                <wp:extent cx="7324725" cy="3648075"/>
                <wp:effectExtent b="0" l="0" r="0" t="0"/>
                <wp:wrapSquare wrapText="bothSides" distB="0" distT="0" distL="114300" distR="114300"/>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7324725" cy="36480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-914399</wp:posOffset>
                </wp:positionH>
                <wp:positionV relativeFrom="paragraph">
                  <wp:posOffset>7302500</wp:posOffset>
                </wp:positionV>
                <wp:extent cx="7324725" cy="923925"/>
                <wp:effectExtent b="0" l="0" r="0" t="0"/>
                <wp:wrapSquare wrapText="bothSides" distB="0" distT="0" distL="114300" distR="114300"/>
                <wp:docPr id="2" name=""/>
                <a:graphic>
                  <a:graphicData uri="http://schemas.microsoft.com/office/word/2010/wordprocessingShape">
                    <wps:wsp>
                      <wps:cNvSpPr/>
                      <wps:cNvPr id="3" name="Shape 3"/>
                      <wps:spPr>
                        <a:xfrm>
                          <a:off x="1688400" y="3322800"/>
                          <a:ext cx="7315200" cy="9144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595959"/>
                                <w:sz w:val="28"/>
                                <w:vertAlign w:val="baseline"/>
                              </w:rPr>
                              <w:t xml:space="preserve">May 6, 2018</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595959"/>
                                <w:sz w:val="28"/>
                                <w:vertAlign w:val="baseline"/>
                              </w:rPr>
                            </w:r>
                            <w:r w:rsidDel="00000000" w:rsidR="00000000" w:rsidRPr="00000000">
                              <w:rPr>
                                <w:rFonts w:ascii="Arial" w:cs="Arial" w:eastAsia="Arial" w:hAnsi="Arial"/>
                                <w:b w:val="0"/>
                                <w:i w:val="0"/>
                                <w:smallCaps w:val="0"/>
                                <w:strike w:val="0"/>
                                <w:color w:val="595959"/>
                                <w:sz w:val="18"/>
                                <w:vertAlign w:val="baseline"/>
                              </w:rPr>
                              <w:t xml:space="preserve">     </w:t>
                            </w:r>
                          </w:p>
                        </w:txbxContent>
                      </wps:txbx>
                      <wps:bodyPr anchorCtr="0" anchor="b" bIns="0" lIns="1600200" spcFirstLastPara="1" rIns="685800"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-914399</wp:posOffset>
                </wp:positionH>
                <wp:positionV relativeFrom="paragraph">
                  <wp:posOffset>7302500</wp:posOffset>
                </wp:positionV>
                <wp:extent cx="7324725" cy="923925"/>
                <wp:effectExtent b="0" l="0" r="0" t="0"/>
                <wp:wrapSquare wrapText="bothSides" distB="0" distT="0" distL="114300" distR="114300"/>
                <wp:docPr id="2"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7324725" cy="9239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-914399</wp:posOffset>
                </wp:positionH>
                <wp:positionV relativeFrom="paragraph">
                  <wp:posOffset>6121400</wp:posOffset>
                </wp:positionV>
                <wp:extent cx="7323455" cy="387985"/>
                <wp:effectExtent b="0" l="0" r="0" t="0"/>
                <wp:wrapSquare wrapText="bothSides" distB="0" distT="0" distL="114300" distR="114300"/>
                <wp:docPr id="4" name=""/>
                <a:graphic>
                  <a:graphicData uri="http://schemas.microsoft.com/office/word/2010/wordprocessingShape">
                    <wps:wsp>
                      <wps:cNvSpPr/>
                      <wps:cNvPr id="8" name="Shape 8"/>
                      <wps:spPr>
                        <a:xfrm>
                          <a:off x="1689035" y="3590770"/>
                          <a:ext cx="7313930" cy="37846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4472c4"/>
                                <w:sz w:val="28"/>
                                <w:vertAlign w:val="baseline"/>
                              </w:rPr>
                              <w:t xml:space="preserve">Abstract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4472c4"/>
                                <w:sz w:val="28"/>
                                <w:vertAlign w:val="baseline"/>
                              </w:rPr>
                            </w:r>
                            <w:r w:rsidDel="00000000" w:rsidR="00000000" w:rsidRPr="00000000">
                              <w:rPr>
                                <w:rFonts w:ascii="Arial" w:cs="Arial" w:eastAsia="Arial" w:hAnsi="Arial"/>
                                <w:b w:val="0"/>
                                <w:i w:val="0"/>
                                <w:smallCaps w:val="0"/>
                                <w:strike w:val="0"/>
                                <w:color w:val="595959"/>
                                <w:sz w:val="20"/>
                                <w:vertAlign w:val="baseline"/>
                              </w:rPr>
                              <w:t xml:space="preserve">This document describes user manual for the GLV system.</w:t>
                            </w:r>
                          </w:p>
                        </w:txbxContent>
                      </wps:txbx>
                      <wps:bodyPr anchorCtr="0" anchor="t" bIns="0" lIns="1600200" spcFirstLastPara="1" rIns="685800"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-914399</wp:posOffset>
                </wp:positionH>
                <wp:positionV relativeFrom="paragraph">
                  <wp:posOffset>6121400</wp:posOffset>
                </wp:positionV>
                <wp:extent cx="7323455" cy="387985"/>
                <wp:effectExtent b="0" l="0" r="0" t="0"/>
                <wp:wrapSquare wrapText="bothSides" distB="0" distT="0" distL="114300" distR="114300"/>
                <wp:docPr id="4"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7323455" cy="387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-914399</wp:posOffset>
                </wp:positionH>
                <wp:positionV relativeFrom="paragraph">
                  <wp:posOffset>-673099</wp:posOffset>
                </wp:positionV>
                <wp:extent cx="7315200" cy="1215391"/>
                <wp:effectExtent b="0" l="0" r="0" t="0"/>
                <wp:wrapNone/>
                <wp:docPr id="3" name=""/>
                <a:graphic>
                  <a:graphicData uri="http://schemas.microsoft.com/office/word/2010/wordprocessingGroup">
                    <wpg:wgp>
                      <wpg:cNvGrpSpPr/>
                      <wpg:grpSpPr>
                        <a:xfrm>
                          <a:off x="1688400" y="3172305"/>
                          <a:ext cx="7315200" cy="1215391"/>
                          <a:chOff x="1688400" y="3172305"/>
                          <a:chExt cx="7315200" cy="1215391"/>
                        </a:xfrm>
                      </wpg:grpSpPr>
                      <wpg:grpSp>
                        <wpg:cNvGrpSpPr/>
                        <wpg:grpSpPr>
                          <a:xfrm>
                            <a:off x="1688400" y="3172305"/>
                            <a:ext cx="7315200" cy="1215391"/>
                            <a:chOff x="0" y="-1"/>
                            <a:chExt cx="7315200" cy="1216153"/>
                          </a:xfrm>
                        </wpg:grpSpPr>
                        <wps:wsp>
                          <wps:cNvSpPr/>
                          <wps:cNvPr id="5" name="Shape 5"/>
                          <wps:spPr>
                            <a:xfrm>
                              <a:off x="0" y="-1"/>
                              <a:ext cx="7315200" cy="121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 name="Shape 6"/>
                          <wps:spPr>
                            <a:xfrm>
                              <a:off x="0" y="-1"/>
                              <a:ext cx="7315200" cy="1130373"/>
                            </a:xfrm>
                            <a:custGeom>
                              <a:pathLst>
                                <a:path extrusionOk="0" h="1129665" w="731266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anchorCtr="0" anchor="ctr" bIns="91425" lIns="91425" spcFirstLastPara="1" rIns="91425" wrap="square" tIns="91425"/>
                        </wps:wsp>
                        <wps:wsp>
                          <wps:cNvSpPr/>
                          <wps:cNvPr id="7" name="Shape 7"/>
                          <wps:spPr>
                            <a:xfrm>
                              <a:off x="0" y="0"/>
                              <a:ext cx="7315200" cy="121615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-914399</wp:posOffset>
                </wp:positionH>
                <wp:positionV relativeFrom="paragraph">
                  <wp:posOffset>-673099</wp:posOffset>
                </wp:positionV>
                <wp:extent cx="7315200" cy="1215391"/>
                <wp:effectExtent b="0" l="0" r="0" t="0"/>
                <wp:wrapNone/>
                <wp:docPr id="3"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7315200" cy="1215391"/>
                        </a:xfrm>
                        <a:prstGeom prst="rect"/>
                        <a:ln/>
                      </pic:spPr>
                    </pic:pic>
                  </a:graphicData>
                </a:graphic>
              </wp:anchor>
            </w:drawing>
          </mc:Fallback>
        </mc:AlternateContent>
      </w:r>
    </w:p>
    <w:p w:rsidR="00000000" w:rsidDel="00000000" w:rsidP="00000000" w:rsidRDefault="00000000" w:rsidRPr="00000000" w14:paraId="00000001">
      <w:pPr>
        <w:spacing w:line="259" w:lineRule="auto"/>
        <w:contextualSpacing w:val="0"/>
        <w:rPr>
          <w:rFonts w:ascii="Calibri" w:cs="Calibri" w:eastAsia="Calibri" w:hAnsi="Calibri"/>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02">
      <w:pPr>
        <w:pStyle w:val="Heading1"/>
        <w:contextualSpacing w:val="0"/>
        <w:rPr/>
      </w:pPr>
      <w:r w:rsidDel="00000000" w:rsidR="00000000" w:rsidRPr="00000000">
        <w:rPr>
          <w:rtl w:val="0"/>
        </w:rPr>
        <w:t xml:space="preserve">Introduction</w:t>
      </w:r>
    </w:p>
    <w:p w:rsidR="00000000" w:rsidDel="00000000" w:rsidP="00000000" w:rsidRDefault="00000000" w:rsidRPr="00000000" w14:paraId="00000003">
      <w:pPr>
        <w:contextualSpacing w:val="0"/>
        <w:rPr>
          <w:sz w:val="24"/>
          <w:szCs w:val="24"/>
        </w:rPr>
      </w:pPr>
      <w:r w:rsidDel="00000000" w:rsidR="00000000" w:rsidRPr="00000000">
        <w:rPr>
          <w:sz w:val="24"/>
          <w:szCs w:val="24"/>
          <w:rtl w:val="0"/>
        </w:rPr>
        <w:t xml:space="preserve">This document presents the basic usage of the GLV system for the LFEV-2018 project. This year’s GLV didn’t have major changes besides deleting extra ports on the side panels as well as integrating with the new VSCADA system. The whole new GLV enclosure is redesigned therefore the GLV is rewired in the new box. (See wiring diagram)</w:t>
      </w:r>
    </w:p>
    <w:p w:rsidR="00000000" w:rsidDel="00000000" w:rsidP="00000000" w:rsidRDefault="00000000" w:rsidRPr="00000000" w14:paraId="00000004">
      <w:pPr>
        <w:pStyle w:val="Heading1"/>
        <w:contextualSpacing w:val="0"/>
        <w:rPr/>
      </w:pPr>
      <w:bookmarkStart w:colFirst="0" w:colLast="0" w:name="_kkuv4dcf5hww" w:id="0"/>
      <w:bookmarkEnd w:id="0"/>
      <w:r w:rsidDel="00000000" w:rsidR="00000000" w:rsidRPr="00000000">
        <w:rPr>
          <w:rtl w:val="0"/>
        </w:rPr>
        <w:t xml:space="preserve">Charging the Battery</w:t>
      </w:r>
    </w:p>
    <w:p w:rsidR="00000000" w:rsidDel="00000000" w:rsidP="00000000" w:rsidRDefault="00000000" w:rsidRPr="00000000" w14:paraId="00000005">
      <w:pPr>
        <w:contextualSpacing w:val="0"/>
        <w:rPr>
          <w:sz w:val="24"/>
          <w:szCs w:val="24"/>
        </w:rPr>
      </w:pPr>
      <w:bookmarkStart w:colFirst="0" w:colLast="0" w:name="_gjdgxs" w:id="1"/>
      <w:bookmarkEnd w:id="1"/>
      <w:r w:rsidDel="00000000" w:rsidR="00000000" w:rsidRPr="00000000">
        <w:rPr>
          <w:sz w:val="24"/>
          <w:szCs w:val="24"/>
          <w:rtl w:val="0"/>
        </w:rPr>
        <w:t xml:space="preserve">The GLV Battery must be charged for proper operation of the GLV system. The GLV battery can be charged using a PST-G100-24F8 charger. This charger charges the 24V battery at 1.5A, and it includes a plug and forget algorithm which allows it to be plugged in without the possibility of overcharging the battery. The charger has lights which indicate when the battery has finished charging. The fully  charged battery can be used for approximately 6 hours. </w:t>
      </w:r>
    </w:p>
    <w:p w:rsidR="00000000" w:rsidDel="00000000" w:rsidP="00000000" w:rsidRDefault="00000000" w:rsidRPr="00000000" w14:paraId="00000006">
      <w:pPr>
        <w:pStyle w:val="Heading1"/>
        <w:contextualSpacing w:val="0"/>
        <w:rPr/>
      </w:pPr>
      <w:r w:rsidDel="00000000" w:rsidR="00000000" w:rsidRPr="00000000">
        <w:rPr>
          <w:rtl w:val="0"/>
        </w:rPr>
        <w:t xml:space="preserve">Break Out Board</w:t>
      </w:r>
    </w:p>
    <w:p w:rsidR="00000000" w:rsidDel="00000000" w:rsidP="00000000" w:rsidRDefault="00000000" w:rsidRPr="00000000" w14:paraId="00000007">
      <w:pPr>
        <w:contextualSpacing w:val="0"/>
        <w:rPr>
          <w:sz w:val="24"/>
          <w:szCs w:val="24"/>
        </w:rPr>
      </w:pPr>
      <w:r w:rsidDel="00000000" w:rsidR="00000000" w:rsidRPr="00000000">
        <w:rPr>
          <w:sz w:val="24"/>
          <w:szCs w:val="24"/>
          <w:rtl w:val="0"/>
        </w:rPr>
        <w:t xml:space="preserve">This year the GLV is using the same PCB as the last year. </w:t>
      </w:r>
    </w:p>
    <w:p w:rsidR="00000000" w:rsidDel="00000000" w:rsidP="00000000" w:rsidRDefault="00000000" w:rsidRPr="00000000" w14:paraId="00000008">
      <w:pPr>
        <w:contextualSpacing w:val="0"/>
        <w:rPr/>
      </w:pPr>
      <w:r w:rsidDel="00000000" w:rsidR="00000000" w:rsidRPr="00000000">
        <w:rPr>
          <w:sz w:val="24"/>
          <w:szCs w:val="24"/>
          <w:rtl w:val="0"/>
        </w:rPr>
        <w:t xml:space="preserve">To find more information. Please visit </w:t>
      </w:r>
      <w:hyperlink r:id="rId11">
        <w:r w:rsidDel="00000000" w:rsidR="00000000" w:rsidRPr="00000000">
          <w:rPr>
            <w:color w:val="1155cc"/>
            <w:sz w:val="24"/>
            <w:szCs w:val="24"/>
            <w:u w:val="single"/>
            <w:rtl w:val="0"/>
          </w:rPr>
          <w:t xml:space="preserve">https://sites.lafayette.edu/ece492-sp17/subsystems/glv/</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9">
      <w:pPr>
        <w:pStyle w:val="Heading1"/>
        <w:contextualSpacing w:val="0"/>
        <w:rPr/>
      </w:pPr>
      <w:r w:rsidDel="00000000" w:rsidR="00000000" w:rsidRPr="00000000">
        <w:rPr>
          <w:rtl w:val="0"/>
        </w:rPr>
        <w:t xml:space="preserve">Safety System OK lamp (SSOK)</w:t>
      </w:r>
    </w:p>
    <w:p w:rsidR="00000000" w:rsidDel="00000000" w:rsidP="00000000" w:rsidRDefault="00000000" w:rsidRPr="00000000" w14:paraId="0000000A">
      <w:pPr>
        <w:contextualSpacing w:val="0"/>
        <w:rPr/>
      </w:pPr>
      <w:r w:rsidDel="00000000" w:rsidR="00000000" w:rsidRPr="00000000">
        <w:rPr>
          <w:rtl w:val="0"/>
        </w:rPr>
        <w:t xml:space="preserve">To comply with the rule this year, a pair of SSOK lamps are added. It was added on the pin MSREST_ B on the PCB board in order to achieve its functionality.</w:t>
      </w:r>
    </w:p>
    <w:p w:rsidR="00000000" w:rsidDel="00000000" w:rsidP="00000000" w:rsidRDefault="00000000" w:rsidRPr="00000000" w14:paraId="0000000B">
      <w:pPr>
        <w:pStyle w:val="Heading1"/>
        <w:contextualSpacing w:val="0"/>
        <w:rPr/>
      </w:pPr>
      <w:bookmarkStart w:colFirst="0" w:colLast="0" w:name="_1xvhgjxitzjl" w:id="2"/>
      <w:bookmarkEnd w:id="2"/>
      <w:r w:rsidDel="00000000" w:rsidR="00000000" w:rsidRPr="00000000">
        <w:rPr>
          <w:rtl w:val="0"/>
        </w:rPr>
        <w:t xml:space="preserve">VSCADA Interaction</w:t>
      </w:r>
    </w:p>
    <w:p w:rsidR="00000000" w:rsidDel="00000000" w:rsidP="00000000" w:rsidRDefault="00000000" w:rsidRPr="00000000" w14:paraId="0000000C">
      <w:pPr>
        <w:contextualSpacing w:val="0"/>
        <w:rPr/>
      </w:pPr>
      <w:r w:rsidDel="00000000" w:rsidR="00000000" w:rsidRPr="00000000">
        <w:rPr>
          <w:rtl w:val="0"/>
        </w:rPr>
        <w:t xml:space="preserve">This year the GLV interact with the VSCADA differently. This year’s VSCADA uses a PI-CAN sheid that allows the Raspberry Pi plug in the DB-9 directly. The VSCADA is still powered by the GLV as well as the GLV debug screen. It is a more direct approach and it allows the GLV to power the VSCADA through its DC/DC convertor. </w:t>
      </w:r>
    </w:p>
    <w:p w:rsidR="00000000" w:rsidDel="00000000" w:rsidP="00000000" w:rsidRDefault="00000000" w:rsidRPr="00000000" w14:paraId="0000000D">
      <w:pPr>
        <w:contextualSpacing w:val="0"/>
        <w:rPr/>
      </w:pPr>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contextualSpacing w:val="0"/>
        <w:rPr/>
      </w:pPr>
      <w:r w:rsidDel="00000000" w:rsidR="00000000" w:rsidRPr="00000000">
        <w:rPr>
          <w:rtl w:val="0"/>
        </w:rPr>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r>
    </w:p>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rtl w:val="0"/>
        </w:rPr>
      </w:r>
    </w:p>
    <w:p w:rsidR="00000000" w:rsidDel="00000000" w:rsidP="00000000" w:rsidRDefault="00000000" w:rsidRPr="00000000" w14:paraId="00000015">
      <w:pPr>
        <w:contextualSpacing w:val="0"/>
        <w:rPr/>
      </w:pPr>
      <w:r w:rsidDel="00000000" w:rsidR="00000000" w:rsidRPr="00000000">
        <w:rPr>
          <w:rtl w:val="0"/>
        </w:rPr>
      </w:r>
    </w:p>
    <w:p w:rsidR="00000000" w:rsidDel="00000000" w:rsidP="00000000" w:rsidRDefault="00000000" w:rsidRPr="00000000" w14:paraId="00000016">
      <w:pPr>
        <w:pStyle w:val="Heading1"/>
        <w:contextualSpacing w:val="0"/>
        <w:rPr/>
      </w:pPr>
      <w:r w:rsidDel="00000000" w:rsidR="00000000" w:rsidRPr="00000000">
        <w:rPr>
          <w:rtl w:val="0"/>
        </w:rPr>
        <w:t xml:space="preserve">Safety Loop Diagram</w:t>
      </w:r>
    </w:p>
    <w:p w:rsidR="00000000" w:rsidDel="00000000" w:rsidP="00000000" w:rsidRDefault="00000000" w:rsidRPr="00000000" w14:paraId="00000017">
      <w:pPr>
        <w:contextualSpacing w:val="0"/>
        <w:jc w:val="center"/>
        <w:rPr>
          <w:sz w:val="24"/>
          <w:szCs w:val="24"/>
        </w:rPr>
      </w:pPr>
      <w:r w:rsidDel="00000000" w:rsidR="00000000" w:rsidRPr="00000000">
        <w:rPr>
          <w:sz w:val="24"/>
          <w:szCs w:val="24"/>
        </w:rPr>
        <w:drawing>
          <wp:inline distB="0" distT="0" distL="0" distR="0">
            <wp:extent cx="5932805" cy="3072765"/>
            <wp:effectExtent b="0" l="0" r="0" t="0"/>
            <wp:docPr descr="safety-2%202.png" id="6" name="image13.png"/>
            <a:graphic>
              <a:graphicData uri="http://schemas.openxmlformats.org/drawingml/2006/picture">
                <pic:pic>
                  <pic:nvPicPr>
                    <pic:cNvPr descr="safety-2%202.png" id="0" name="image13.png"/>
                    <pic:cNvPicPr preferRelativeResize="0"/>
                  </pic:nvPicPr>
                  <pic:blipFill>
                    <a:blip r:embed="rId12"/>
                    <a:srcRect b="0" l="0" r="0" t="0"/>
                    <a:stretch>
                      <a:fillRect/>
                    </a:stretch>
                  </pic:blipFill>
                  <pic:spPr>
                    <a:xfrm>
                      <a:off x="0" y="0"/>
                      <a:ext cx="5932805" cy="307276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ind w:firstLine="720"/>
        <w:contextualSpacing w:val="0"/>
        <w:rPr>
          <w:sz w:val="24"/>
          <w:szCs w:val="24"/>
        </w:rPr>
      </w:pPr>
      <w:r w:rsidDel="00000000" w:rsidR="00000000" w:rsidRPr="00000000">
        <w:rPr>
          <w:sz w:val="24"/>
          <w:szCs w:val="24"/>
          <w:rtl w:val="0"/>
        </w:rPr>
        <w:t xml:space="preserve">The safety loops is on when all of the switches/relays/buttons are closed and power can get to the airs to close them. If you are having trouble closing the loop then start at the beginning of the loop and go step by step until the light turns off. This indicates where the loop has a problem. If you are having trouble closing the airs make sure the glv battery has enough energy or that the sloop is actually fully closed.</w:t>
      </w:r>
    </w:p>
    <w:p w:rsidR="00000000" w:rsidDel="00000000" w:rsidP="00000000" w:rsidRDefault="00000000" w:rsidRPr="00000000" w14:paraId="00000019">
      <w:pPr>
        <w:pStyle w:val="Heading1"/>
        <w:contextualSpacing w:val="0"/>
        <w:rPr/>
      </w:pPr>
      <w:bookmarkStart w:colFirst="0" w:colLast="0" w:name="_il1q9snrvdsr" w:id="3"/>
      <w:bookmarkEnd w:id="3"/>
      <w:r w:rsidDel="00000000" w:rsidR="00000000" w:rsidRPr="00000000">
        <w:rPr>
          <w:rtl w:val="0"/>
        </w:rPr>
        <w:t xml:space="preserve">GLV Enclosure </w:t>
      </w:r>
    </w:p>
    <w:p w:rsidR="00000000" w:rsidDel="00000000" w:rsidP="00000000" w:rsidRDefault="00000000" w:rsidRPr="00000000" w14:paraId="0000001A">
      <w:pPr>
        <w:contextualSpacing w:val="0"/>
        <w:jc w:val="center"/>
        <w:rPr>
          <w:sz w:val="24"/>
          <w:szCs w:val="24"/>
        </w:rPr>
      </w:pPr>
      <w:r w:rsidDel="00000000" w:rsidR="00000000" w:rsidRPr="00000000">
        <w:rPr>
          <w:sz w:val="24"/>
          <w:szCs w:val="24"/>
        </w:rPr>
        <w:drawing>
          <wp:inline distB="114300" distT="114300" distL="114300" distR="114300">
            <wp:extent cx="4090988" cy="5458296"/>
            <wp:effectExtent b="0" l="0" r="0" t="0"/>
            <wp:docPr id="8" name="image16.jpg"/>
            <a:graphic>
              <a:graphicData uri="http://schemas.openxmlformats.org/drawingml/2006/picture">
                <pic:pic>
                  <pic:nvPicPr>
                    <pic:cNvPr id="0" name="image16.jpg"/>
                    <pic:cNvPicPr preferRelativeResize="0"/>
                  </pic:nvPicPr>
                  <pic:blipFill>
                    <a:blip r:embed="rId13"/>
                    <a:srcRect b="0" l="0" r="0" t="0"/>
                    <a:stretch>
                      <a:fillRect/>
                    </a:stretch>
                  </pic:blipFill>
                  <pic:spPr>
                    <a:xfrm>
                      <a:off x="0" y="0"/>
                      <a:ext cx="4090988" cy="5458296"/>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Style w:val="Heading1"/>
        <w:contextualSpacing w:val="0"/>
        <w:rPr/>
      </w:pPr>
      <w:r w:rsidDel="00000000" w:rsidR="00000000" w:rsidRPr="00000000">
        <w:rPr>
          <w:rtl w:val="0"/>
        </w:rPr>
        <w:t xml:space="preserve">GLV Wiring Diagram</w:t>
      </w:r>
    </w:p>
    <w:p w:rsidR="00000000" w:rsidDel="00000000" w:rsidP="00000000" w:rsidRDefault="00000000" w:rsidRPr="00000000" w14:paraId="0000001C">
      <w:pPr>
        <w:contextualSpacing w:val="0"/>
        <w:jc w:val="center"/>
        <w:rPr>
          <w:b w:val="1"/>
          <w:sz w:val="24"/>
          <w:szCs w:val="24"/>
        </w:rPr>
      </w:pPr>
      <w:r w:rsidDel="00000000" w:rsidR="00000000" w:rsidRPr="00000000">
        <w:rPr>
          <w:b w:val="1"/>
          <w:sz w:val="24"/>
          <w:szCs w:val="24"/>
        </w:rPr>
        <w:drawing>
          <wp:inline distB="114300" distT="114300" distL="114300" distR="114300">
            <wp:extent cx="5943600" cy="4381500"/>
            <wp:effectExtent b="0" l="0" r="0" t="0"/>
            <wp:docPr id="7"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94360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contextualSpacing w:val="0"/>
        <w:jc w:val="center"/>
        <w:rPr>
          <w:b w:val="1"/>
          <w:sz w:val="24"/>
          <w:szCs w:val="24"/>
        </w:rPr>
      </w:pPr>
      <w:r w:rsidDel="00000000" w:rsidR="00000000" w:rsidRPr="00000000">
        <w:rPr>
          <w:b w:val="1"/>
          <w:sz w:val="24"/>
          <w:szCs w:val="24"/>
          <w:rtl w:val="0"/>
        </w:rPr>
        <w:t xml:space="preserve">Please refer to the glv wiring diagram for correct wiring</w:t>
      </w:r>
    </w:p>
    <w:p w:rsidR="00000000" w:rsidDel="00000000" w:rsidP="00000000" w:rsidRDefault="00000000" w:rsidRPr="00000000" w14:paraId="0000001E">
      <w:pPr>
        <w:contextualSpacing w:val="0"/>
        <w:rPr/>
      </w:pPr>
      <w:r w:rsidDel="00000000" w:rsidR="00000000" w:rsidRPr="00000000">
        <w:rPr>
          <w:rtl w:val="0"/>
        </w:rPr>
      </w:r>
    </w:p>
    <w:p w:rsidR="00000000" w:rsidDel="00000000" w:rsidP="00000000" w:rsidRDefault="00000000" w:rsidRPr="00000000" w14:paraId="0000001F">
      <w:pPr>
        <w:contextualSpacing w:val="0"/>
        <w:rPr/>
      </w:pPr>
      <w:r w:rsidDel="00000000" w:rsidR="00000000" w:rsidRPr="00000000">
        <w:rPr>
          <w:rtl w:val="0"/>
        </w:rPr>
      </w:r>
    </w:p>
    <w:p w:rsidR="00000000" w:rsidDel="00000000" w:rsidP="00000000" w:rsidRDefault="00000000" w:rsidRPr="00000000" w14:paraId="00000020">
      <w:pPr>
        <w:contextualSpacing w:val="0"/>
        <w:rPr/>
      </w:pPr>
      <w:r w:rsidDel="00000000" w:rsidR="00000000" w:rsidRPr="00000000">
        <w:rPr>
          <w:rtl w:val="0"/>
        </w:rPr>
      </w:r>
    </w:p>
    <w:p w:rsidR="00000000" w:rsidDel="00000000" w:rsidP="00000000" w:rsidRDefault="00000000" w:rsidRPr="00000000" w14:paraId="00000021">
      <w:pPr>
        <w:contextualSpacing w:val="0"/>
        <w:rPr/>
      </w:pPr>
      <w:r w:rsidDel="00000000" w:rsidR="00000000" w:rsidRPr="00000000">
        <w:rPr>
          <w:rtl w:val="0"/>
        </w:rPr>
      </w:r>
    </w:p>
    <w:p w:rsidR="00000000" w:rsidDel="00000000" w:rsidP="00000000" w:rsidRDefault="00000000" w:rsidRPr="00000000" w14:paraId="00000022">
      <w:pPr>
        <w:pStyle w:val="Heading1"/>
        <w:contextualSpacing w:val="0"/>
        <w:rPr/>
      </w:pPr>
      <w:bookmarkStart w:colFirst="0" w:colLast="0" w:name="_sv5hkhf08o4d" w:id="4"/>
      <w:bookmarkEnd w:id="4"/>
      <w:r w:rsidDel="00000000" w:rsidR="00000000" w:rsidRPr="00000000">
        <w:rPr>
          <w:rtl w:val="0"/>
        </w:rPr>
        <w:t xml:space="preserve">FAQ</w:t>
      </w:r>
    </w:p>
    <w:p w:rsidR="00000000" w:rsidDel="00000000" w:rsidP="00000000" w:rsidRDefault="00000000" w:rsidRPr="00000000" w14:paraId="00000023">
      <w:pPr>
        <w:numPr>
          <w:ilvl w:val="0"/>
          <w:numId w:val="1"/>
        </w:numPr>
        <w:ind w:left="720" w:hanging="360"/>
        <w:contextualSpacing w:val="1"/>
        <w:rPr>
          <w:u w:val="none"/>
        </w:rPr>
      </w:pPr>
      <w:r w:rsidDel="00000000" w:rsidR="00000000" w:rsidRPr="00000000">
        <w:rPr>
          <w:rtl w:val="0"/>
        </w:rPr>
        <w:t xml:space="preserve">Why is safety Loop not closed?</w:t>
      </w:r>
    </w:p>
    <w:p w:rsidR="00000000" w:rsidDel="00000000" w:rsidP="00000000" w:rsidRDefault="00000000" w:rsidRPr="00000000" w14:paraId="00000024">
      <w:pPr>
        <w:ind w:firstLine="720"/>
        <w:contextualSpacing w:val="0"/>
        <w:rPr/>
      </w:pPr>
      <w:r w:rsidDel="00000000" w:rsidR="00000000" w:rsidRPr="00000000">
        <w:rPr>
          <w:rtl w:val="0"/>
        </w:rPr>
        <w:t xml:space="preserve">Use the terminators starts from the GLV, check if the fault light goes away. If the fault light still exists, then there check if all the pins that goes into the safety port have the correct voltage.</w:t>
      </w:r>
    </w:p>
    <w:p w:rsidR="00000000" w:rsidDel="00000000" w:rsidP="00000000" w:rsidRDefault="00000000" w:rsidRPr="00000000" w14:paraId="00000025">
      <w:pPr>
        <w:numPr>
          <w:ilvl w:val="0"/>
          <w:numId w:val="1"/>
        </w:numPr>
        <w:ind w:left="720" w:hanging="360"/>
        <w:contextualSpacing w:val="1"/>
        <w:rPr>
          <w:u w:val="none"/>
        </w:rPr>
      </w:pPr>
      <w:r w:rsidDel="00000000" w:rsidR="00000000" w:rsidRPr="00000000">
        <w:rPr>
          <w:rtl w:val="0"/>
        </w:rPr>
        <w:t xml:space="preserve">Why can’t I close the master reset button?</w:t>
      </w:r>
    </w:p>
    <w:p w:rsidR="00000000" w:rsidDel="00000000" w:rsidP="00000000" w:rsidRDefault="00000000" w:rsidRPr="00000000" w14:paraId="00000026">
      <w:pPr>
        <w:ind w:left="720" w:firstLine="0"/>
        <w:contextualSpacing w:val="0"/>
        <w:rPr>
          <w:sz w:val="24"/>
          <w:szCs w:val="24"/>
        </w:rPr>
      </w:pPr>
      <w:r w:rsidDel="00000000" w:rsidR="00000000" w:rsidRPr="00000000">
        <w:rPr>
          <w:rtl w:val="0"/>
        </w:rPr>
        <w:t xml:space="preserve">Check there are any burning traces on the board. Also check if there are any loose wires on the brbs to prevent the voltage flowing. </w:t>
      </w:r>
      <w:r w:rsidDel="00000000" w:rsidR="00000000" w:rsidRPr="00000000">
        <w:rPr>
          <w:rtl w:val="0"/>
        </w:rPr>
      </w:r>
    </w:p>
    <w:sectPr>
      <w:footerReference r:id="rId15" w:type="first"/>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tbl>
    <w:tblPr>
      <w:tblStyle w:val="Table1"/>
      <w:tblW w:w="9360.0" w:type="dxa"/>
      <w:jc w:val="left"/>
      <w:tblInd w:w="0.0" w:type="pct"/>
      <w:tblLayout w:type="fixed"/>
      <w:tblLook w:val="0400"/>
    </w:tblPr>
    <w:tblGrid>
      <w:gridCol w:w="4495"/>
      <w:gridCol w:w="374"/>
      <w:gridCol w:w="4491"/>
      <w:tblGridChange w:id="0">
        <w:tblGrid>
          <w:gridCol w:w="4495"/>
          <w:gridCol w:w="374"/>
          <w:gridCol w:w="4491"/>
        </w:tblGrid>
      </w:tblGridChange>
    </w:tblGrid>
    <w:tr>
      <w:tc>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alibri" w:cs="Calibri" w:eastAsia="Calibri" w:hAnsi="Calibri"/>
              <w:b w:val="0"/>
              <w:i w:val="0"/>
              <w:smallCaps w:val="1"/>
              <w:strike w:val="0"/>
              <w:color w:val="4472c4"/>
              <w:sz w:val="18"/>
              <w:szCs w:val="18"/>
              <w:u w:val="none"/>
              <w:shd w:fill="auto" w:val="clear"/>
              <w:vertAlign w:val="baseline"/>
            </w:rPr>
          </w:pPr>
          <w:r w:rsidDel="00000000" w:rsidR="00000000" w:rsidRPr="00000000">
            <w:rPr>
              <w:rFonts w:ascii="Calibri" w:cs="Calibri" w:eastAsia="Calibri" w:hAnsi="Calibri"/>
              <w:b w:val="0"/>
              <w:i w:val="0"/>
              <w:smallCaps w:val="1"/>
              <w:strike w:val="0"/>
              <w:color w:val="4472c4"/>
              <w:sz w:val="18"/>
              <w:szCs w:val="18"/>
              <w:u w:val="none"/>
              <w:shd w:fill="auto" w:val="clear"/>
              <w:vertAlign w:val="baseline"/>
              <w:rtl w:val="0"/>
            </w:rPr>
            <w:t xml:space="preserve">GROUNDED LOW VOLTAGE (GLV) USER MANUAL</w:t>
          </w:r>
        </w:p>
      </w:tc>
      <w:tc>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alibri" w:cs="Calibri" w:eastAsia="Calibri" w:hAnsi="Calibri"/>
              <w:b w:val="0"/>
              <w:i w:val="0"/>
              <w:smallCaps w:val="1"/>
              <w:strike w:val="0"/>
              <w:color w:val="4472c4"/>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right"/>
            <w:rPr>
              <w:rFonts w:ascii="Calibri" w:cs="Calibri" w:eastAsia="Calibri" w:hAnsi="Calibri"/>
              <w:b w:val="0"/>
              <w:i w:val="0"/>
              <w:smallCaps w:val="1"/>
              <w:strike w:val="0"/>
              <w:color w:val="4472c4"/>
              <w:sz w:val="18"/>
              <w:szCs w:val="18"/>
              <w:u w:val="none"/>
              <w:shd w:fill="auto" w:val="clear"/>
              <w:vertAlign w:val="baseline"/>
            </w:rPr>
          </w:pPr>
          <w:r w:rsidDel="00000000" w:rsidR="00000000" w:rsidRPr="00000000">
            <w:rPr>
              <w:rFonts w:ascii="Calibri" w:cs="Calibri" w:eastAsia="Calibri" w:hAnsi="Calibri"/>
              <w:b w:val="0"/>
              <w:i w:val="0"/>
              <w:smallCaps w:val="1"/>
              <w:strike w:val="0"/>
              <w:color w:val="4472c4"/>
              <w:sz w:val="18"/>
              <w:szCs w:val="18"/>
              <w:u w:val="none"/>
              <w:shd w:fill="auto" w:val="clear"/>
              <w:vertAlign w:val="baseline"/>
              <w:rtl w:val="0"/>
            </w:rPr>
            <w:t xml:space="preserve">MAY 6, 2018</w:t>
          </w:r>
        </w:p>
      </w:tc>
    </w:tr>
  </w:tbl>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4472c4"/>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ites.lafayette.edu/ece492-sp17/subsystems/glv/" TargetMode="External"/><Relationship Id="rId10" Type="http://schemas.openxmlformats.org/officeDocument/2006/relationships/image" Target="media/image9.png"/><Relationship Id="rId13" Type="http://schemas.openxmlformats.org/officeDocument/2006/relationships/image" Target="media/image16.jp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footer" Target="footer1.xml"/><Relationship Id="rId14" Type="http://schemas.openxmlformats.org/officeDocument/2006/relationships/image" Target="media/image14.png"/><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image" Target="media/image5.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