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ECE 492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Sensors Design History 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Change in obstacle detection process (December, 2024). The previous process couldn’t distinguish the main plane present, and had a higher failure rate in obstacle recognition. The previous design is presented in this diagram.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714375</wp:posOffset>
            </wp:positionH>
            <wp:positionV relativeFrom="paragraph">
              <wp:posOffset>180975</wp:posOffset>
            </wp:positionV>
            <wp:extent cx="4414158" cy="2836663"/>
            <wp:effectExtent b="12700" l="12700" r="12700" t="1270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14158" cy="2836663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Change in the way we process the data and we come to a decision  (December, 2024). We analyze the results from the LiDAR and we analyze the results from all the other sensors and then we come to a common decision on how ar is the obstacles from us and our decision where we will move (distance, angle) and what will be our relative speed.</w:t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714375</wp:posOffset>
            </wp:positionH>
            <wp:positionV relativeFrom="paragraph">
              <wp:posOffset>1104188</wp:posOffset>
            </wp:positionV>
            <wp:extent cx="4514850" cy="3294620"/>
            <wp:effectExtent b="0" l="0" r="0" t="0"/>
            <wp:wrapNone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32946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1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sqb40o4pb59w" w:id="0"/>
      <w:bookmarkEnd w:id="0"/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